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TS3: Explanation for the difference in profit after tax of 2019 year on year</w:t>
      </w:r>
    </w:p>
    <w:p>
      <w:pPr>
        <w:pStyle w:val="Normal"/>
        <w:rPr/>
      </w:pPr>
      <w:r>
        <w:rPr/>
        <w:t>On 31 Mar 2020, One Member Limited Liability Company No 532 explained the difference in profit after tax of 2019 year on year as follows:</w:t>
      </w:r>
    </w:p>
    <w:p>
      <w:pPr>
        <w:pStyle w:val="Normal"/>
        <w:numPr>
          <w:ilvl w:val="0"/>
          <w:numId w:val="3"/>
        </w:numPr>
        <w:rPr/>
      </w:pPr>
      <w:r>
        <w:rPr/>
        <w:t>Business operation result</w:t>
      </w:r>
    </w:p>
    <w:p>
      <w:pPr>
        <w:pStyle w:val="Normal"/>
        <w:jc w:val="right"/>
        <w:rPr/>
      </w:pPr>
      <w:r>
        <w:rPr/>
        <w:t>Unit: Million VND</w:t>
      </w:r>
    </w:p>
    <w:tbl>
      <w:tblPr>
        <w:tblW w:w="958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394"/>
        <w:gridCol w:w="2394"/>
        <w:gridCol w:w="2404"/>
      </w:tblGrid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Content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Difference</w:t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Revenue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182,023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154,375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(27,648)</w:t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Profit after corporate income tax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2,827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969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1,858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Revenue of 2019 decreased year on year by VND 27,648 million (equivalent to 15.2%)</w:t>
      </w:r>
    </w:p>
    <w:p>
      <w:pPr>
        <w:pStyle w:val="Normal"/>
        <w:ind w:left="720" w:hanging="0"/>
        <w:rPr/>
      </w:pPr>
      <w:r>
        <w:rPr/>
        <w:t>Reason:</w:t>
      </w:r>
    </w:p>
    <w:p>
      <w:pPr>
        <w:pStyle w:val="Normal"/>
        <w:numPr>
          <w:ilvl w:val="0"/>
          <w:numId w:val="2"/>
        </w:numPr>
        <w:rPr/>
      </w:pPr>
      <w:r>
        <w:rPr/>
        <w:t>Some bidding packages were difficult in carrying out the land clearance work such as: belt road in the west of Da Nang, Bidding package XL 31 at Hoa Lien – Tuy Loan project, residential zone in the north of Tra Bong river embankment, Dong Hai resettlement zone</w:t>
      </w:r>
    </w:p>
    <w:p>
      <w:pPr>
        <w:pStyle w:val="Normal"/>
        <w:numPr>
          <w:ilvl w:val="0"/>
          <w:numId w:val="2"/>
        </w:numPr>
        <w:rPr/>
      </w:pPr>
      <w:r>
        <w:rPr/>
        <w:t>Work of seeking for jobs was difficult, the intense competition of the enterprises on market in price</w:t>
      </w:r>
    </w:p>
    <w:p>
      <w:pPr>
        <w:pStyle w:val="Normal"/>
        <w:numPr>
          <w:ilvl w:val="0"/>
          <w:numId w:val="1"/>
        </w:numPr>
        <w:rPr/>
      </w:pPr>
      <w:r>
        <w:rPr/>
        <w:t>Profit after corporate income tax of 2019 increased year on year by VND 1,858 million (equivalent to 291.7%)</w:t>
      </w:r>
    </w:p>
    <w:p>
      <w:pPr>
        <w:pStyle w:val="Normal"/>
        <w:ind w:left="720" w:hanging="0"/>
        <w:rPr/>
      </w:pPr>
      <w:r>
        <w:rPr/>
        <w:t>Reason:</w:t>
      </w:r>
    </w:p>
    <w:p>
      <w:pPr>
        <w:pStyle w:val="Normal"/>
        <w:numPr>
          <w:ilvl w:val="0"/>
          <w:numId w:val="2"/>
        </w:numPr>
        <w:rPr/>
      </w:pPr>
      <w:r>
        <w:rPr/>
        <w:t>In 2019, price of materials on the market deceased, the Company controlled rigidly the materials on structures and did not let the loss and waste happened</w:t>
      </w:r>
    </w:p>
    <w:p>
      <w:pPr>
        <w:pStyle w:val="Normal"/>
        <w:numPr>
          <w:ilvl w:val="0"/>
          <w:numId w:val="2"/>
        </w:numPr>
        <w:rPr/>
      </w:pPr>
      <w:r>
        <w:rPr/>
        <w:t>Strengthened the work of acceptation, payment and recovery of liabilities, paying for debts to the credit institutions so the expense for interest from borrowings this year decreased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rFonts w:cs="Arial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Arial" w:hAnsi="Arial" w:eastAsia="Calibri" w:cs="Arial"/>
      <w:color w:val="auto"/>
      <w:sz w:val="20"/>
      <w:szCs w:val="22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2020-04-01T21:13:00Z</dcterms:created>
  <dc:creator>Adminis</dc:creator>
  <dc:description/>
  <cp:keywords/>
  <dc:language>en-US</dc:language>
  <cp:lastModifiedBy>Adminis</cp:lastModifiedBy>
  <dcterms:modified xsi:type="dcterms:W3CDTF">2020-04-02T06:18:00Z</dcterms:modified>
  <cp:revision>16</cp:revision>
  <dc:subject/>
  <dc:title/>
</cp:coreProperties>
</file>